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LW2903 Business and Law</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Part A Q1</w:t>
      </w:r>
    </w:p>
    <w:p w:rsidR="00000000" w:rsidDel="00000000" w:rsidP="00000000" w:rsidRDefault="00000000" w:rsidRPr="00000000" w14:paraId="00000005">
      <w:pPr>
        <w:rPr>
          <w:sz w:val="24"/>
          <w:szCs w:val="24"/>
        </w:rPr>
      </w:pPr>
      <w:r w:rsidDel="00000000" w:rsidR="00000000" w:rsidRPr="00000000">
        <w:rPr>
          <w:sz w:val="24"/>
          <w:szCs w:val="24"/>
          <w:rtl w:val="0"/>
        </w:rPr>
        <w:t xml:space="preserve">The issue between SF and F&amp;Y is on negligent statement and the issue between SF and FT is on exclusion clause. </w:t>
      </w:r>
    </w:p>
    <w:p w:rsidR="00000000" w:rsidDel="00000000" w:rsidP="00000000" w:rsidRDefault="00000000" w:rsidRPr="00000000" w14:paraId="00000006">
      <w:pPr>
        <w:rPr>
          <w:sz w:val="24"/>
          <w:szCs w:val="24"/>
        </w:rPr>
      </w:pPr>
      <w:r w:rsidDel="00000000" w:rsidR="00000000" w:rsidRPr="00000000">
        <w:rPr>
          <w:sz w:val="24"/>
          <w:szCs w:val="24"/>
          <w:rtl w:val="0"/>
        </w:rPr>
        <w:t xml:space="preserve">On the issue between SF and F&amp;Y, “negligent statement that causes a pure economic loss is a subject of matter of a tortious claim”</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Economic loss means that the plaintiff suffered purely financial loss but no other losses. The tort of negligence has been defined as: “...the breach of a legal duty to take care which results in damage, undesired by the defendant, to the plaintiff”</w:t>
      </w:r>
      <w:r w:rsidDel="00000000" w:rsidR="00000000" w:rsidRPr="00000000">
        <w:rPr>
          <w:sz w:val="24"/>
          <w:szCs w:val="24"/>
          <w:vertAlign w:val="superscript"/>
        </w:rPr>
        <w:footnoteReference w:customMarkFollows="0" w:id="1"/>
      </w:r>
      <w:r w:rsidDel="00000000" w:rsidR="00000000" w:rsidRPr="00000000">
        <w:rPr>
          <w:sz w:val="24"/>
          <w:szCs w:val="24"/>
          <w:rtl w:val="0"/>
        </w:rPr>
        <w:t xml:space="preserve">. To succeed, the plaintiff must establish the following: (1) The defendant owed a legal duty of     care to P; (2) D breached such duty of care; (3) Such breach caused the damage; and (4) The damage should not be too remote</w:t>
      </w:r>
      <w:r w:rsidDel="00000000" w:rsidR="00000000" w:rsidRPr="00000000">
        <w:rPr>
          <w:sz w:val="24"/>
          <w:szCs w:val="24"/>
          <w:vertAlign w:val="superscript"/>
        </w:rPr>
        <w:footnoteReference w:customMarkFollows="0" w:id="2"/>
      </w:r>
      <w:r w:rsidDel="00000000" w:rsidR="00000000" w:rsidRPr="00000000">
        <w:rPr>
          <w:sz w:val="24"/>
          <w:szCs w:val="24"/>
          <w:rtl w:val="0"/>
        </w:rPr>
        <w:t xml:space="preserve">.</w:t>
      </w:r>
    </w:p>
    <w:p w:rsidR="00000000" w:rsidDel="00000000" w:rsidP="00000000" w:rsidRDefault="00000000" w:rsidRPr="00000000" w14:paraId="00000007">
      <w:pPr>
        <w:rPr>
          <w:sz w:val="24"/>
          <w:szCs w:val="24"/>
        </w:rPr>
      </w:pPr>
      <w:r w:rsidDel="00000000" w:rsidR="00000000" w:rsidRPr="00000000">
        <w:rPr>
          <w:sz w:val="24"/>
          <w:szCs w:val="24"/>
          <w:rtl w:val="0"/>
        </w:rPr>
        <w:t xml:space="preserve">Firstly, according to Donoghue v Stevenson, Donoghue saw a snail inside a drink, the manufacturer (Stevenson) is held to have breached his duty of care to Donoghue who was a foreseeable victim</w:t>
      </w:r>
      <w:r w:rsidDel="00000000" w:rsidR="00000000" w:rsidRPr="00000000">
        <w:rPr>
          <w:sz w:val="24"/>
          <w:szCs w:val="24"/>
          <w:vertAlign w:val="superscript"/>
        </w:rPr>
        <w:footnoteReference w:customMarkFollows="0" w:id="3"/>
      </w:r>
      <w:r w:rsidDel="00000000" w:rsidR="00000000" w:rsidRPr="00000000">
        <w:rPr>
          <w:sz w:val="24"/>
          <w:szCs w:val="24"/>
          <w:rtl w:val="0"/>
        </w:rPr>
        <w:t xml:space="preserve">. This had arisen the Neighbour principle, which a person must take reasonable care to avoid acts or omission, which he can reasonably foresee would likely injure his neighbor. There are three elements to fulfill in the 3-fold test for duty pf care to be established: foreseeability, proximity and fairness, justice and reasonableness</w:t>
      </w:r>
      <w:r w:rsidDel="00000000" w:rsidR="00000000" w:rsidRPr="00000000">
        <w:rPr>
          <w:sz w:val="24"/>
          <w:szCs w:val="24"/>
          <w:vertAlign w:val="superscript"/>
        </w:rPr>
        <w:footnoteReference w:customMarkFollows="0" w:id="4"/>
      </w:r>
      <w:r w:rsidDel="00000000" w:rsidR="00000000" w:rsidRPr="00000000">
        <w:rPr>
          <w:sz w:val="24"/>
          <w:szCs w:val="24"/>
          <w:rtl w:val="0"/>
        </w:rPr>
        <w:t xml:space="preserve">. According to Home Office v. Dorset Yacht Co. Ltd. (1970), the officers of the Home office are supposed to supervise the Borstal Boys, but the boys escaped and damaged plaintiff’s yacht nearby. It is foreseeable that if the boys escape, they may damage the property nearby, so Home office owes a duty of care so is held liable. From the fact, it is foreseeable that F&amp;Y, being the auditors for the SF Group, SF relied heavily on F&amp;Y, their failure to report certain important detail of the company would lead to financial loss of SF. In terms of proximity, in Smith v Eric S Bush, the plaintiff wanted to buy a house and need a mortgage from bank, so he hires the defendant to inspect the property. The defendant knew that without the report, the bank would not give the mortgage, and the report was produced with negligence, the defendant was held liable</w:t>
      </w:r>
      <w:r w:rsidDel="00000000" w:rsidR="00000000" w:rsidRPr="00000000">
        <w:rPr>
          <w:sz w:val="24"/>
          <w:szCs w:val="24"/>
          <w:vertAlign w:val="superscript"/>
        </w:rPr>
        <w:footnoteReference w:customMarkFollows="0" w:id="5"/>
      </w:r>
      <w:r w:rsidDel="00000000" w:rsidR="00000000" w:rsidRPr="00000000">
        <w:rPr>
          <w:sz w:val="24"/>
          <w:szCs w:val="24"/>
          <w:rtl w:val="0"/>
        </w:rPr>
        <w:t xml:space="preserve">. From the fact, F&amp;Y was appointed as the auditors for the SF Group for the entire period from their incorporation to their respective liquidation, so there is proximity between SF and F&amp;Y. For fair, just and reasonable, it is determined by the court. </w:t>
      </w:r>
    </w:p>
    <w:p w:rsidR="00000000" w:rsidDel="00000000" w:rsidP="00000000" w:rsidRDefault="00000000" w:rsidRPr="00000000" w14:paraId="00000008">
      <w:pPr>
        <w:rPr>
          <w:sz w:val="24"/>
          <w:szCs w:val="24"/>
        </w:rPr>
      </w:pPr>
      <w:r w:rsidDel="00000000" w:rsidR="00000000" w:rsidRPr="00000000">
        <w:rPr>
          <w:sz w:val="24"/>
          <w:szCs w:val="24"/>
          <w:rtl w:val="0"/>
        </w:rPr>
        <w:t xml:space="preserve">Besides, in order to say F&amp;Y had made a negligent statement, we should prove there is special relationship between SF and F&amp;Y. “A negligent misrepresentation might give rise to an action for financial loss caused even if the maker of the statement and the recipient do not have any contractual relationship, provided that the maker and the recipient had a ‘special relationship’</w:t>
      </w:r>
      <w:r w:rsidDel="00000000" w:rsidR="00000000" w:rsidRPr="00000000">
        <w:rPr>
          <w:sz w:val="24"/>
          <w:szCs w:val="24"/>
          <w:vertAlign w:val="superscript"/>
        </w:rPr>
        <w:footnoteReference w:customMarkFollows="0" w:id="6"/>
      </w:r>
      <w:r w:rsidDel="00000000" w:rsidR="00000000" w:rsidRPr="00000000">
        <w:rPr>
          <w:sz w:val="24"/>
          <w:szCs w:val="24"/>
          <w:rtl w:val="0"/>
        </w:rPr>
        <w:t xml:space="preserve">. A special relationship exists where the person giving advice is a professional adviser or holds himself out as having some professional skills. An important requirement of liability is that the defendant assumes some sort of responsibility to give correct advice or information.”</w:t>
      </w:r>
      <w:r w:rsidDel="00000000" w:rsidR="00000000" w:rsidRPr="00000000">
        <w:rPr>
          <w:sz w:val="24"/>
          <w:szCs w:val="24"/>
          <w:vertAlign w:val="superscript"/>
        </w:rPr>
        <w:footnoteReference w:customMarkFollows="0" w:id="7"/>
      </w:r>
      <w:r w:rsidDel="00000000" w:rsidR="00000000" w:rsidRPr="00000000">
        <w:rPr>
          <w:sz w:val="24"/>
          <w:szCs w:val="24"/>
          <w:rtl w:val="0"/>
        </w:rPr>
        <w:t xml:space="preserve">. From Hedley Byrne &amp; Co Ltd v. Heller &amp; Partners Ltd, defendant gave a letter to the plaintiff telling them a company is financially sound, so the plaintiff invested in that company. But in fact, that company is not financially sound, so the plaintiff suffered a loss, which can sue the plaintiff. From the fact, F&amp;Y being a well-known firm of accountants should be professional in the field which has the responsibility to give correct information, therefore special relationship exist between SF and F&amp;Y and F&amp;Y owes a duty of care to SF.</w:t>
      </w:r>
    </w:p>
    <w:p w:rsidR="00000000" w:rsidDel="00000000" w:rsidP="00000000" w:rsidRDefault="00000000" w:rsidRPr="00000000" w14:paraId="00000009">
      <w:pPr>
        <w:rPr>
          <w:sz w:val="24"/>
          <w:szCs w:val="24"/>
        </w:rPr>
      </w:pPr>
      <w:r w:rsidDel="00000000" w:rsidR="00000000" w:rsidRPr="00000000">
        <w:rPr>
          <w:sz w:val="24"/>
          <w:szCs w:val="24"/>
          <w:rtl w:val="0"/>
        </w:rPr>
        <w:t xml:space="preserve">After duty of care was fulfilled, we use the objective test to see if the defendant breached his duty. When conducting an objective test, we may refer to the codes of practice and industry standards of the accountancy profession in deciding the proper standard</w:t>
      </w:r>
      <w:r w:rsidDel="00000000" w:rsidR="00000000" w:rsidRPr="00000000">
        <w:rPr>
          <w:sz w:val="24"/>
          <w:szCs w:val="24"/>
          <w:vertAlign w:val="superscript"/>
        </w:rPr>
        <w:footnoteReference w:customMarkFollows="0" w:id="8"/>
      </w:r>
      <w:r w:rsidDel="00000000" w:rsidR="00000000" w:rsidRPr="00000000">
        <w:rPr>
          <w:sz w:val="24"/>
          <w:szCs w:val="24"/>
          <w:rtl w:val="0"/>
        </w:rPr>
        <w:t xml:space="preserve">. From the fact, F&amp;Y fail to report the conflict of interest, imprudent manner in conducting their affairs and their failure to disclose the true financial position of the SF Group, this shows that F&amp;Y did not perform up to their standard of care as an accountant. Therefore, it is a breached of duty for F&amp;Y. </w:t>
      </w:r>
    </w:p>
    <w:p w:rsidR="00000000" w:rsidDel="00000000" w:rsidP="00000000" w:rsidRDefault="00000000" w:rsidRPr="00000000" w14:paraId="0000000A">
      <w:pPr>
        <w:rPr>
          <w:sz w:val="24"/>
          <w:szCs w:val="24"/>
        </w:rPr>
      </w:pPr>
      <w:r w:rsidDel="00000000" w:rsidR="00000000" w:rsidRPr="00000000">
        <w:rPr>
          <w:sz w:val="24"/>
          <w:szCs w:val="24"/>
          <w:rtl w:val="0"/>
        </w:rPr>
        <w:t xml:space="preserve">Next is whether such a breach caused the damage. According to Barnett v Chelsea &amp; Kensington Hospital Management Committee, by using the but-for test, it is held that regardless of what treatment the defendant gave, the patient would die anyway. The reason for the death is the poisoning but not the fault of the doctor, so there is no causation in fact. In this case, the financial loss of SF is directly caused by F&amp;Y’s failure to report the conflict of interest, imprudent manner in conducting their affairs and their failure to disclose the true financial position of the SF Group. But-for F&amp;Y did not fail to do so, SF would not suffer the loss. Hence there is causation of fact. Lastly, for the proximity of the damage. In the case of Overseas Tankship (UK) Ltd v Morts Dock &amp; Engineering Co Ltd, it is held that it is too remote and not foreseeable that the discharge of oil from the defendant’s ship will lead to a fire and destroy the plaintiff’s ship. From the fact, F&amp;Y is directly appointed by SF and worked for them for a long time, so there is enough proximity and causation in law. </w:t>
      </w:r>
    </w:p>
    <w:p w:rsidR="00000000" w:rsidDel="00000000" w:rsidP="00000000" w:rsidRDefault="00000000" w:rsidRPr="00000000" w14:paraId="0000000B">
      <w:pPr>
        <w:rPr>
          <w:sz w:val="24"/>
          <w:szCs w:val="24"/>
        </w:rPr>
      </w:pPr>
      <w:r w:rsidDel="00000000" w:rsidR="00000000" w:rsidRPr="00000000">
        <w:rPr>
          <w:sz w:val="24"/>
          <w:szCs w:val="24"/>
          <w:rtl w:val="0"/>
        </w:rPr>
        <w:t xml:space="preserve">To conclude, SF could recover the pure economic loss from F&amp;Y due to their negligence as F&amp;Y owes a duty of care to SF, F&amp;Y breached such duty of care, which such breach has caused the pure economic loss and the damage is not too remote. </w:t>
      </w:r>
    </w:p>
    <w:p w:rsidR="00000000" w:rsidDel="00000000" w:rsidP="00000000" w:rsidRDefault="00000000" w:rsidRPr="00000000" w14:paraId="0000000C">
      <w:pPr>
        <w:rPr>
          <w:sz w:val="24"/>
          <w:szCs w:val="24"/>
        </w:rPr>
      </w:pPr>
      <w:r w:rsidDel="00000000" w:rsidR="00000000" w:rsidRPr="00000000">
        <w:rPr>
          <w:sz w:val="24"/>
          <w:szCs w:val="24"/>
          <w:rtl w:val="0"/>
        </w:rPr>
        <w:t xml:space="preserve">On the issue between SF and FT, Exclusion clauses are defined as clauses “intended to exclude, exempt or limit liability”. To be effective, three conditions must be satisfied: (1) incorporation, (2) construction, (3) not contravene the control of exemption clauses ordinance (Cap.71)</w:t>
      </w:r>
      <w:r w:rsidDel="00000000" w:rsidR="00000000" w:rsidRPr="00000000">
        <w:rPr>
          <w:sz w:val="24"/>
          <w:szCs w:val="24"/>
          <w:vertAlign w:val="superscript"/>
        </w:rPr>
        <w:footnoteReference w:customMarkFollows="0" w:id="9"/>
      </w:r>
      <w:r w:rsidDel="00000000" w:rsidR="00000000" w:rsidRPr="00000000">
        <w:rPr>
          <w:sz w:val="24"/>
          <w:szCs w:val="24"/>
          <w:rtl w:val="0"/>
        </w:rPr>
        <w:t xml:space="preserve">. First, for incorporation, the exclusion clause can be incorporated by signature, notice or prior course of dealings. According to L’Estrange v. F Fraucob Ltd, the plaintiff signed a document without reading it. When the defendant sends the machines to the plaintiff, it is found that there was a decay, the plaintiff thinks he does not need to pay. But as the contract includes the exclusion clause that “even the machines decay, the plaintiff still need to pay the instalments”, and the plaintiff had put his signature, he is bound with the terms and have to pay for the amount. From the fact, although SF were not aware of the existence of the clause, the sign means they acknowledge the terms and are bound by them. There is no misrepresentation made by FT, so the exclusion clause has been incorporated. </w:t>
      </w:r>
    </w:p>
    <w:p w:rsidR="00000000" w:rsidDel="00000000" w:rsidP="00000000" w:rsidRDefault="00000000" w:rsidRPr="00000000" w14:paraId="0000000D">
      <w:pPr>
        <w:rPr>
          <w:sz w:val="24"/>
          <w:szCs w:val="24"/>
        </w:rPr>
      </w:pPr>
      <w:r w:rsidDel="00000000" w:rsidR="00000000" w:rsidRPr="00000000">
        <w:rPr>
          <w:sz w:val="24"/>
          <w:szCs w:val="24"/>
          <w:rtl w:val="0"/>
        </w:rPr>
        <w:t xml:space="preserve">Next, for construction: “once the court is satisfied that an exclusion clause has been incorporated into a contract, the court will consider whether its wording is clear and wide enough to protect the party relying on it”.</w:t>
      </w:r>
      <w:r w:rsidDel="00000000" w:rsidR="00000000" w:rsidRPr="00000000">
        <w:rPr>
          <w:sz w:val="24"/>
          <w:szCs w:val="24"/>
          <w:vertAlign w:val="superscript"/>
        </w:rPr>
        <w:footnoteReference w:customMarkFollows="0" w:id="10"/>
      </w:r>
      <w:r w:rsidDel="00000000" w:rsidR="00000000" w:rsidRPr="00000000">
        <w:rPr>
          <w:sz w:val="24"/>
          <w:szCs w:val="24"/>
          <w:rtl w:val="0"/>
        </w:rPr>
        <w:t xml:space="preserve"> According to Baldry v. Marshall, the exclusion clause on ‘guarantee or warranty, statutory or otherwise” was held to be too wide. The court may apply the contra proferentem rule to restrict the effects of an exclusion clause. From the fact, the part of “any express or implied condition, statement, or warranty, statutory or otherwise not stated herein is hereby excluded” may held to be too wide, but the following sentence “Any defects or faulty parts will be limited to repairs or replacement of the faulty parts only” has make it clear that FT is only responsible for repairs or replacement of the faulty parts. As the wordings are clear, the exclusion clause has been constructed. </w:t>
      </w:r>
    </w:p>
    <w:p w:rsidR="00000000" w:rsidDel="00000000" w:rsidP="00000000" w:rsidRDefault="00000000" w:rsidRPr="00000000" w14:paraId="0000000E">
      <w:pPr>
        <w:rPr>
          <w:sz w:val="24"/>
          <w:szCs w:val="24"/>
        </w:rPr>
      </w:pPr>
      <w:r w:rsidDel="00000000" w:rsidR="00000000" w:rsidRPr="00000000">
        <w:rPr>
          <w:sz w:val="24"/>
          <w:szCs w:val="24"/>
          <w:rtl w:val="0"/>
        </w:rPr>
        <w:t xml:space="preserve">Lastly, for not contravene the control of exemption clauses ordinance (Cap.71), it provides that “no person can by reference to any exemption clauses exclude liability for personal injuries or death caused by negligence”</w:t>
      </w:r>
      <w:r w:rsidDel="00000000" w:rsidR="00000000" w:rsidRPr="00000000">
        <w:rPr>
          <w:sz w:val="24"/>
          <w:szCs w:val="24"/>
          <w:vertAlign w:val="superscript"/>
        </w:rPr>
        <w:footnoteReference w:customMarkFollows="0" w:id="11"/>
      </w:r>
      <w:r w:rsidDel="00000000" w:rsidR="00000000" w:rsidRPr="00000000">
        <w:rPr>
          <w:sz w:val="24"/>
          <w:szCs w:val="24"/>
          <w:rtl w:val="0"/>
        </w:rPr>
        <w:t xml:space="preserve">. From the fact, there is no personal injuries or death caused by negligence, so the exclusion clause did not contravene the CECO. </w:t>
      </w:r>
    </w:p>
    <w:p w:rsidR="00000000" w:rsidDel="00000000" w:rsidP="00000000" w:rsidRDefault="00000000" w:rsidRPr="00000000" w14:paraId="0000000F">
      <w:pPr>
        <w:rPr>
          <w:sz w:val="24"/>
          <w:szCs w:val="24"/>
        </w:rPr>
      </w:pPr>
      <w:r w:rsidDel="00000000" w:rsidR="00000000" w:rsidRPr="00000000">
        <w:rPr>
          <w:sz w:val="24"/>
          <w:szCs w:val="24"/>
          <w:rtl w:val="0"/>
        </w:rPr>
        <w:t xml:space="preserve">To conclude, the exclusion clause of FT is effective. SF cannot claim for the return and full refund of the defective machines, but can only ask for repairs or replacement of the faulty parts of sweets packing and cutting machines</w:t>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sz w:val="24"/>
          <w:szCs w:val="24"/>
          <w:rtl w:val="0"/>
        </w:rPr>
        <w:t xml:space="preserve">Part B Q2</w:t>
      </w:r>
    </w:p>
    <w:p w:rsidR="00000000" w:rsidDel="00000000" w:rsidP="00000000" w:rsidRDefault="00000000" w:rsidRPr="00000000" w14:paraId="00000012">
      <w:pPr>
        <w:rPr>
          <w:sz w:val="24"/>
          <w:szCs w:val="24"/>
          <w:vertAlign w:val="superscript"/>
        </w:rPr>
      </w:pPr>
      <w:r w:rsidDel="00000000" w:rsidR="00000000" w:rsidRPr="00000000">
        <w:rPr>
          <w:sz w:val="24"/>
          <w:szCs w:val="24"/>
          <w:rtl w:val="0"/>
        </w:rPr>
        <w:t xml:space="preserve">I) The termination of an employment contract can be done by the employer or the employee by notice or payment tin lieu of notice. For employees during the first month of probation, no notice is required. While for employees with no probation or after the probation period, it should either be in accordance with the agreement which should not be less than 7 days or without agreement which should not be less than 1 month</w:t>
      </w:r>
      <w:r w:rsidDel="00000000" w:rsidR="00000000" w:rsidRPr="00000000">
        <w:rPr>
          <w:sz w:val="24"/>
          <w:szCs w:val="24"/>
          <w:vertAlign w:val="superscript"/>
        </w:rPr>
        <w:footnoteReference w:customMarkFollows="0" w:id="12"/>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The employer or the employee can terminate the contract without notice or payment in lieu of notice for certain reasons. For employer, if the employee willfully disobeys a lawful and reasonable order; misconducts himself; is guilty of fraud or dishonesty; or is habitually neglectful in his duties, the employer can dismiss the employee without notice or payment in lieu of notice</w:t>
      </w:r>
      <w:r w:rsidDel="00000000" w:rsidR="00000000" w:rsidRPr="00000000">
        <w:rPr>
          <w:sz w:val="24"/>
          <w:szCs w:val="24"/>
          <w:vertAlign w:val="superscript"/>
        </w:rPr>
        <w:footnoteReference w:customMarkFollows="0" w:id="13"/>
      </w:r>
      <w:r w:rsidDel="00000000" w:rsidR="00000000" w:rsidRPr="00000000">
        <w:rPr>
          <w:sz w:val="24"/>
          <w:szCs w:val="24"/>
          <w:rtl w:val="0"/>
        </w:rPr>
        <w:t xml:space="preserve">. However, the employer cannot exercise its right to terminate her employment contract by giving payment in lieu of notice to avoid paying bonus to the employee. According to Tadjudin Sunny v Bank of America, National Association, the plaintiff was eligible to be considered for bonus, but the defendant terminated the plaintiff's employment by giving her one month’s salary in lieu of notice without bonus. It is held that this action is not enforceable</w:t>
      </w:r>
      <w:r w:rsidDel="00000000" w:rsidR="00000000" w:rsidRPr="00000000">
        <w:rPr>
          <w:sz w:val="24"/>
          <w:szCs w:val="24"/>
          <w:vertAlign w:val="superscript"/>
        </w:rPr>
        <w:footnoteReference w:customMarkFollows="0" w:id="14"/>
      </w:r>
      <w:r w:rsidDel="00000000" w:rsidR="00000000" w:rsidRPr="00000000">
        <w:rPr>
          <w:sz w:val="24"/>
          <w:szCs w:val="24"/>
          <w:rtl w:val="0"/>
        </w:rPr>
        <w:t xml:space="preserve">. The general termination payments includes outstanding wages; wages in lieu of notice, payment in lieu of any untaken annual leave, and any pro rata annual leave pay for the current leave year; any outstanding sum of end of year payment, and pro rata end of year payment for the current payment period; long service payment or severance payment; other payments under the employment contract, such as, gratuity, provident fund, etc</w:t>
      </w:r>
      <w:r w:rsidDel="00000000" w:rsidR="00000000" w:rsidRPr="00000000">
        <w:rPr>
          <w:sz w:val="24"/>
          <w:szCs w:val="24"/>
          <w:vertAlign w:val="superscript"/>
        </w:rPr>
        <w:footnoteReference w:customMarkFollows="0" w:id="15"/>
      </w:r>
      <w:r w:rsidDel="00000000" w:rsidR="00000000" w:rsidRPr="00000000">
        <w:rPr>
          <w:sz w:val="24"/>
          <w:szCs w:val="24"/>
          <w:rtl w:val="0"/>
        </w:rPr>
        <w:t xml:space="preserve">.</w:t>
      </w:r>
    </w:p>
    <w:p w:rsidR="00000000" w:rsidDel="00000000" w:rsidP="00000000" w:rsidRDefault="00000000" w:rsidRPr="00000000" w14:paraId="00000014">
      <w:pPr>
        <w:rPr>
          <w:sz w:val="24"/>
          <w:szCs w:val="24"/>
        </w:rPr>
      </w:pPr>
      <w:r w:rsidDel="00000000" w:rsidR="00000000" w:rsidRPr="00000000">
        <w:rPr>
          <w:sz w:val="24"/>
          <w:szCs w:val="24"/>
          <w:rtl w:val="0"/>
        </w:rPr>
        <w:t xml:space="preserve">Employer cannot dismiss an employee under unreasonable dismissal or unreasonable and unlawful dismissal. Unreasonable dismissal is when a person is dismissed other than for a valid reason as specified in the Employment Ordinance. According to the Employment Ordinance, the five valid reasons are: the conduct of the employee; the capability or qualifications of the employee for performing his work; redundancy or other genuine operational requirements of the business; statutory requirements; or other substantial reasons</w:t>
      </w:r>
      <w:r w:rsidDel="00000000" w:rsidR="00000000" w:rsidRPr="00000000">
        <w:rPr>
          <w:sz w:val="24"/>
          <w:szCs w:val="24"/>
          <w:vertAlign w:val="superscript"/>
        </w:rPr>
        <w:footnoteReference w:customMarkFollows="0" w:id="16"/>
      </w:r>
      <w:r w:rsidDel="00000000" w:rsidR="00000000" w:rsidRPr="00000000">
        <w:rPr>
          <w:sz w:val="24"/>
          <w:szCs w:val="24"/>
          <w:rtl w:val="0"/>
        </w:rPr>
        <w:t xml:space="preserve">. According to Thomas Vincent v South China Morning Post Publishers Limited, it is held that the conduct cited by the employer for the termination must be the true reason. If in reality there was some other reason why the employee was dismissed then the reason given would not be a "valid reason", the specified conduct must be relevant to the question of whether or not to dismiss the employee, and the conduct must not be trifling</w:t>
      </w:r>
      <w:r w:rsidDel="00000000" w:rsidR="00000000" w:rsidRPr="00000000">
        <w:rPr>
          <w:sz w:val="24"/>
          <w:szCs w:val="24"/>
          <w:vertAlign w:val="superscript"/>
        </w:rPr>
        <w:footnoteReference w:customMarkFollows="0" w:id="17"/>
      </w:r>
      <w:r w:rsidDel="00000000" w:rsidR="00000000" w:rsidRPr="00000000">
        <w:rPr>
          <w:sz w:val="24"/>
          <w:szCs w:val="24"/>
          <w:rtl w:val="0"/>
        </w:rPr>
        <w:t xml:space="preserve">. If the employer unreasonably dismissed an employee, the Labour Tribunal may order reinstatement or re-engagement of the dismissed employee (subject to the mutual consent of both the employer and employee); or an award of terminal payments against the employer</w:t>
      </w:r>
      <w:r w:rsidDel="00000000" w:rsidR="00000000" w:rsidRPr="00000000">
        <w:rPr>
          <w:sz w:val="24"/>
          <w:szCs w:val="24"/>
          <w:vertAlign w:val="superscript"/>
        </w:rPr>
        <w:footnoteReference w:customMarkFollows="0" w:id="18"/>
      </w:r>
      <w:r w:rsidDel="00000000" w:rsidR="00000000" w:rsidRPr="00000000">
        <w:rPr>
          <w:sz w:val="24"/>
          <w:szCs w:val="24"/>
          <w:rtl w:val="0"/>
        </w:rPr>
        <w:t xml:space="preserve">. </w:t>
      </w:r>
    </w:p>
    <w:p w:rsidR="00000000" w:rsidDel="00000000" w:rsidP="00000000" w:rsidRDefault="00000000" w:rsidRPr="00000000" w14:paraId="00000015">
      <w:pPr>
        <w:rPr>
          <w:sz w:val="24"/>
          <w:szCs w:val="24"/>
        </w:rPr>
      </w:pPr>
      <w:r w:rsidDel="00000000" w:rsidR="00000000" w:rsidRPr="00000000">
        <w:rPr>
          <w:sz w:val="24"/>
          <w:szCs w:val="24"/>
          <w:rtl w:val="0"/>
        </w:rPr>
        <w:t xml:space="preserve">Unreasonable and Unlawful dismissal is when the employee is dismissed other than for a valid reason as specified in the Employment Ordinance (which is the reason above) and the dismissal is in contravention of the law. The law restricted an employer to dismiss a female employee has been confirmed pregnant and has served a notice of pregnancy; an employee is on paid sick leave; an employee by reason of his giving of evidence or information in any proceedings or inquiry in connection with the enforcement of the Employment Ordinance, work accidents or breach of work safety legislation; an employee participate in trade union membership and activities (as according to Employment Ordinance, every employee have the right to be a member or an officer of a trade union and to take part in the activities of the trade union in any appropriate time); and an employee was injured and having entered into agreement with the employer for employee's compensation or before the issue of a certificate of assessment</w:t>
      </w:r>
      <w:r w:rsidDel="00000000" w:rsidR="00000000" w:rsidRPr="00000000">
        <w:rPr>
          <w:sz w:val="24"/>
          <w:szCs w:val="24"/>
          <w:vertAlign w:val="superscript"/>
        </w:rPr>
        <w:footnoteReference w:customMarkFollows="0" w:id="19"/>
      </w:r>
      <w:r w:rsidDel="00000000" w:rsidR="00000000" w:rsidRPr="00000000">
        <w:rPr>
          <w:sz w:val="24"/>
          <w:szCs w:val="24"/>
          <w:rtl w:val="0"/>
        </w:rPr>
        <w:t xml:space="preserve">. If the employer unreasonably and unlawfully dismissed an employee, the Labour Tribunal may order reinstatement or re-engagement of the dismissed employee (subject to the mutual consent of both the employer and employee); or an award of terminal payments against the employer. Furthermore, the Labour Tribunal may order an award of compensation not exceeding HK$150,000 to the employee in appropriate cases</w:t>
      </w:r>
      <w:r w:rsidDel="00000000" w:rsidR="00000000" w:rsidRPr="00000000">
        <w:rPr>
          <w:sz w:val="24"/>
          <w:szCs w:val="24"/>
          <w:vertAlign w:val="superscript"/>
        </w:rPr>
        <w:footnoteReference w:customMarkFollows="0" w:id="20"/>
      </w:r>
      <w:r w:rsidDel="00000000" w:rsidR="00000000" w:rsidRPr="00000000">
        <w:rPr>
          <w:sz w:val="24"/>
          <w:szCs w:val="24"/>
          <w:rtl w:val="0"/>
        </w:rPr>
        <w:t xml:space="preserve">.</w:t>
      </w:r>
    </w:p>
    <w:p w:rsidR="00000000" w:rsidDel="00000000" w:rsidP="00000000" w:rsidRDefault="00000000" w:rsidRPr="00000000" w14:paraId="00000016">
      <w:pPr>
        <w:rPr>
          <w:sz w:val="24"/>
          <w:szCs w:val="24"/>
        </w:rPr>
      </w:pPr>
      <w:r w:rsidDel="00000000" w:rsidR="00000000" w:rsidRPr="00000000">
        <w:rPr>
          <w:sz w:val="24"/>
          <w:szCs w:val="24"/>
          <w:rtl w:val="0"/>
        </w:rPr>
        <w:t xml:space="preserve">For employee, he can terminate his employment contract without notice or payment in lieu of notice if he reasonably fears physical danger by violence or disease; he is subjected to ill-treatment by the employer; or he has been employed for not less than five years and is certified by registered medical practitioner or a registered Chinese medicine practitioner as being permanently unfit for the type of work he is being engaged</w:t>
      </w:r>
      <w:r w:rsidDel="00000000" w:rsidR="00000000" w:rsidRPr="00000000">
        <w:rPr>
          <w:sz w:val="24"/>
          <w:szCs w:val="24"/>
          <w:vertAlign w:val="superscript"/>
        </w:rPr>
        <w:footnoteReference w:customMarkFollows="0" w:id="21"/>
      </w:r>
      <w:r w:rsidDel="00000000" w:rsidR="00000000" w:rsidRPr="00000000">
        <w:rPr>
          <w:sz w:val="24"/>
          <w:szCs w:val="24"/>
          <w:rtl w:val="0"/>
        </w:rPr>
        <w:t xml:space="preserv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II) Employment Ordinance applies to every employee engaged under a contract of employment in Hong Kong, it also applies to locals and foreign national working in Hong Kong</w:t>
      </w:r>
      <w:r w:rsidDel="00000000" w:rsidR="00000000" w:rsidRPr="00000000">
        <w:rPr>
          <w:sz w:val="24"/>
          <w:szCs w:val="24"/>
          <w:vertAlign w:val="superscript"/>
        </w:rPr>
        <w:footnoteReference w:customMarkFollows="0" w:id="22"/>
      </w:r>
      <w:r w:rsidDel="00000000" w:rsidR="00000000" w:rsidRPr="00000000">
        <w:rPr>
          <w:sz w:val="24"/>
          <w:szCs w:val="24"/>
          <w:rtl w:val="0"/>
        </w:rPr>
        <w:t xml:space="preserve">. Section 6(2A) states that annual leave cannot be included in the notice period required to terminate an employment contract. </w:t>
      </w:r>
    </w:p>
    <w:p w:rsidR="00000000" w:rsidDel="00000000" w:rsidP="00000000" w:rsidRDefault="00000000" w:rsidRPr="00000000" w14:paraId="00000019">
      <w:pPr>
        <w:rPr>
          <w:sz w:val="24"/>
          <w:szCs w:val="24"/>
        </w:rPr>
      </w:pPr>
      <w:r w:rsidDel="00000000" w:rsidR="00000000" w:rsidRPr="00000000">
        <w:rPr>
          <w:sz w:val="24"/>
          <w:szCs w:val="24"/>
          <w:rtl w:val="0"/>
        </w:rPr>
        <w:t xml:space="preserve">In the case Kao, Lee and Yip v. Lau Wing and Tsui Wai Yu, Lau and Tsui were two solicitors who had been working in the law firm for one to two years. Their contract stated that it could be terminated by either the law firm or themselves by giving three months’ notice. Lau and Tsui wanted to resign and submitted a resignation on August 19, 2005. As they want to bring their employment to an end, they wrote to the firm indicating that they wished to shorten the three-month notice period “by way of payment in lieu of notice for the period from September 20, 2005 to November 18, 2005”. Which means they will work for the first month and make a payment in lieu to cover the remaining two months. Also on that day, they requested the firm to advise them of the exact amount of the payment in lieu which they were required to pay. On the next day, the firm responded and indicated that it would not accept the two solicitors to make a payment in lieu to cover the balance of their notice period and did not reply to the letter asking it to indicate how much the two solicitors were required to pay as payment in lieu of notice. Then, Lau and Tsui each wrote to the firm again and enclosed checks for the payment in lieu (in accordance with their own calculations but stated that they would immediately pay back if there were any error in the calculation). The firm refused to accept the checks. On September 19, 2005, which was their last day of work, they re-submitted the checks to the firm and the firm again refused to accept them. Therefore, they left the firm relying on the payment in lieu they had tendered and the fact that they had served out the first month of their notice period. The firm sue Lau and Tsui for they left without three months notice. In the Court of the Final Appeal, it is held that the firm has lost the case and held that an employee has a right to use accrued annual leave to offset the notice period</w:t>
      </w:r>
      <w:r w:rsidDel="00000000" w:rsidR="00000000" w:rsidRPr="00000000">
        <w:rPr>
          <w:sz w:val="24"/>
          <w:szCs w:val="24"/>
          <w:vertAlign w:val="superscript"/>
        </w:rPr>
        <w:footnoteReference w:customMarkFollows="0" w:id="23"/>
      </w:r>
      <w:r w:rsidDel="00000000" w:rsidR="00000000" w:rsidRPr="00000000">
        <w:rPr>
          <w:sz w:val="24"/>
          <w:szCs w:val="24"/>
          <w:rtl w:val="0"/>
        </w:rPr>
        <w:t xml:space="preserve">. </w:t>
      </w:r>
    </w:p>
    <w:p w:rsidR="00000000" w:rsidDel="00000000" w:rsidP="00000000" w:rsidRDefault="00000000" w:rsidRPr="00000000" w14:paraId="0000001A">
      <w:pPr>
        <w:rPr>
          <w:sz w:val="24"/>
          <w:szCs w:val="24"/>
        </w:rPr>
      </w:pPr>
      <w:r w:rsidDel="00000000" w:rsidR="00000000" w:rsidRPr="00000000">
        <w:rPr>
          <w:sz w:val="24"/>
          <w:szCs w:val="24"/>
          <w:rtl w:val="0"/>
        </w:rPr>
        <w:t xml:space="preserve">Therefore, Section 6(2) in EO was meant to protect the employee and would therefore not apply to cases where the employee decides to use annual leave to offset the notice period.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Part B Q3</w:t>
      </w:r>
    </w:p>
    <w:p w:rsidR="00000000" w:rsidDel="00000000" w:rsidP="00000000" w:rsidRDefault="00000000" w:rsidRPr="00000000" w14:paraId="00000023">
      <w:pPr>
        <w:rPr>
          <w:sz w:val="24"/>
          <w:szCs w:val="24"/>
        </w:rPr>
      </w:pPr>
      <w:r w:rsidDel="00000000" w:rsidR="00000000" w:rsidRPr="00000000">
        <w:rPr>
          <w:sz w:val="24"/>
          <w:szCs w:val="24"/>
          <w:rtl w:val="0"/>
        </w:rPr>
        <w:t xml:space="preserve">I) There are six sources of law in the Hong Kong Legal System, including Basic Law, National Laws, Legislation, Common Law, Equity and Customary law. </w:t>
      </w:r>
    </w:p>
    <w:p w:rsidR="00000000" w:rsidDel="00000000" w:rsidP="00000000" w:rsidRDefault="00000000" w:rsidRPr="00000000" w14:paraId="00000024">
      <w:pPr>
        <w:rPr>
          <w:sz w:val="24"/>
          <w:szCs w:val="24"/>
        </w:rPr>
      </w:pPr>
      <w:r w:rsidDel="00000000" w:rsidR="00000000" w:rsidRPr="00000000">
        <w:rPr>
          <w:sz w:val="24"/>
          <w:szCs w:val="24"/>
          <w:rtl w:val="0"/>
        </w:rPr>
        <w:t xml:space="preserve">For Basic Law, it is the supreme law of Hong Kong enacted by the National People’s Congress of the PRC. “The Basic Law is the constitutional document for the HKSAR. It enshrines within a legal document the important concepts of "One Country, Two Systems", "a high degree of autonomy" and "Hong Kong People administering Hong Kong". It also prescribes the various systems to be practiced in the HKSAR.”</w:t>
      </w:r>
      <w:r w:rsidDel="00000000" w:rsidR="00000000" w:rsidRPr="00000000">
        <w:rPr>
          <w:sz w:val="24"/>
          <w:szCs w:val="24"/>
          <w:vertAlign w:val="superscript"/>
        </w:rPr>
        <w:footnoteReference w:customMarkFollows="0" w:id="24"/>
      </w:r>
      <w:r w:rsidDel="00000000" w:rsidR="00000000" w:rsidRPr="00000000">
        <w:rPr>
          <w:sz w:val="24"/>
          <w:szCs w:val="24"/>
          <w:rtl w:val="0"/>
        </w:rPr>
        <w:t xml:space="preserve"> It consists of 9 chapters, 160 articles and 3 annexes. Some important articles include Article 5 “The socialist system and policies shall not be practiced in the Hong Kong Special Administrative Region, and the previous capitalist system and way of life shall remain unchanged for 50 years”</w:t>
      </w:r>
      <w:r w:rsidDel="00000000" w:rsidR="00000000" w:rsidRPr="00000000">
        <w:rPr>
          <w:sz w:val="24"/>
          <w:szCs w:val="24"/>
          <w:vertAlign w:val="superscript"/>
        </w:rPr>
        <w:footnoteReference w:customMarkFollows="0" w:id="25"/>
      </w:r>
      <w:r w:rsidDel="00000000" w:rsidR="00000000" w:rsidRPr="00000000">
        <w:rPr>
          <w:sz w:val="24"/>
          <w:szCs w:val="24"/>
          <w:rtl w:val="0"/>
        </w:rPr>
        <w:t xml:space="preserve"> and Article 8 “The laws previously in force in Hong Kong, that is, the common law, rules of equity, ordinances, subordinate legislation and customary law shall be maintained, except for any that contravene this Law, and subject to any amendment by the legislature of the Hong Kong Special Administrative Region.”</w:t>
      </w:r>
      <w:r w:rsidDel="00000000" w:rsidR="00000000" w:rsidRPr="00000000">
        <w:rPr>
          <w:sz w:val="24"/>
          <w:szCs w:val="24"/>
          <w:vertAlign w:val="superscript"/>
        </w:rPr>
        <w:footnoteReference w:customMarkFollows="0" w:id="26"/>
      </w:r>
      <w:r w:rsidDel="00000000" w:rsidR="00000000" w:rsidRPr="00000000">
        <w:rPr>
          <w:sz w:val="24"/>
          <w:szCs w:val="24"/>
          <w:rtl w:val="0"/>
        </w:rPr>
        <w:t xml:space="preserve"> </w:t>
      </w:r>
    </w:p>
    <w:p w:rsidR="00000000" w:rsidDel="00000000" w:rsidP="00000000" w:rsidRDefault="00000000" w:rsidRPr="00000000" w14:paraId="00000025">
      <w:pPr>
        <w:rPr>
          <w:sz w:val="24"/>
          <w:szCs w:val="24"/>
        </w:rPr>
      </w:pPr>
      <w:r w:rsidDel="00000000" w:rsidR="00000000" w:rsidRPr="00000000">
        <w:rPr>
          <w:sz w:val="24"/>
          <w:szCs w:val="24"/>
          <w:rtl w:val="0"/>
        </w:rPr>
        <w:t xml:space="preserve">For National Law, it is included in Annex 3 of the Basic Law, to show the National Laws to be Applied in the Hong Kong Special Administrative Region, which includes resolution on the Capital, Calendar, National Anthem and National Flag of the People's Republic of China, National Day of the People's Republic of China, order on the National Emblem of the People's Republic of China Proclaimed by the Central People's Government Attached: Design of the national emblem, notes of explanation and instructions for use, Declaration of the Government of the People's Republic of China on the Territorial Sea, nationality Law of the People's Republic of China and regulations of the People's Republic of China Concerning Diplomatic Privileges and Immunities</w:t>
      </w:r>
      <w:r w:rsidDel="00000000" w:rsidR="00000000" w:rsidRPr="00000000">
        <w:rPr>
          <w:sz w:val="24"/>
          <w:szCs w:val="24"/>
          <w:vertAlign w:val="superscript"/>
        </w:rPr>
        <w:footnoteReference w:customMarkFollows="0" w:id="27"/>
      </w:r>
      <w:r w:rsidDel="00000000" w:rsidR="00000000" w:rsidRPr="00000000">
        <w:rPr>
          <w:sz w:val="24"/>
          <w:szCs w:val="24"/>
          <w:rtl w:val="0"/>
        </w:rPr>
        <w:t xml:space="preserve">. </w:t>
      </w:r>
    </w:p>
    <w:p w:rsidR="00000000" w:rsidDel="00000000" w:rsidP="00000000" w:rsidRDefault="00000000" w:rsidRPr="00000000" w14:paraId="00000026">
      <w:pPr>
        <w:rPr>
          <w:sz w:val="24"/>
          <w:szCs w:val="24"/>
        </w:rPr>
      </w:pPr>
      <w:r w:rsidDel="00000000" w:rsidR="00000000" w:rsidRPr="00000000">
        <w:rPr>
          <w:sz w:val="24"/>
          <w:szCs w:val="24"/>
          <w:rtl w:val="0"/>
        </w:rPr>
        <w:t xml:space="preserve">For legislation, the purpose is to create, alter, revoke, consolidate or implement law. It includes Ordinances, which are passed by the Legislative Council within the scope of the Basic Law, and Subsidiary legislation, which are made by authorized bodies (with power delegated by the Legislative Council) to create detailed orders, rules and regulations for the implementation of the laws</w:t>
      </w:r>
      <w:r w:rsidDel="00000000" w:rsidR="00000000" w:rsidRPr="00000000">
        <w:rPr>
          <w:sz w:val="24"/>
          <w:szCs w:val="24"/>
          <w:vertAlign w:val="superscript"/>
        </w:rPr>
        <w:footnoteReference w:customMarkFollows="0" w:id="28"/>
      </w:r>
      <w:r w:rsidDel="00000000" w:rsidR="00000000" w:rsidRPr="00000000">
        <w:rPr>
          <w:sz w:val="24"/>
          <w:szCs w:val="24"/>
          <w:rtl w:val="0"/>
        </w:rPr>
        <w:t xml:space="preserve">. </w:t>
      </w:r>
    </w:p>
    <w:p w:rsidR="00000000" w:rsidDel="00000000" w:rsidP="00000000" w:rsidRDefault="00000000" w:rsidRPr="00000000" w14:paraId="00000027">
      <w:pPr>
        <w:rPr>
          <w:sz w:val="24"/>
          <w:szCs w:val="24"/>
        </w:rPr>
      </w:pPr>
      <w:r w:rsidDel="00000000" w:rsidR="00000000" w:rsidRPr="00000000">
        <w:rPr>
          <w:sz w:val="24"/>
          <w:szCs w:val="24"/>
          <w:rtl w:val="0"/>
        </w:rPr>
        <w:t xml:space="preserve">For Common Law, which also refers to case law was originally developed in England and then applied uniformly and evolved in Hong Kong and enriched in other common law jurisdictions. The system was common to all people and is very rigid</w:t>
      </w:r>
      <w:r w:rsidDel="00000000" w:rsidR="00000000" w:rsidRPr="00000000">
        <w:rPr>
          <w:sz w:val="24"/>
          <w:szCs w:val="24"/>
          <w:vertAlign w:val="superscript"/>
        </w:rPr>
        <w:footnoteReference w:customMarkFollows="0" w:id="29"/>
      </w:r>
      <w:r w:rsidDel="00000000" w:rsidR="00000000" w:rsidRPr="00000000">
        <w:rPr>
          <w:sz w:val="24"/>
          <w:szCs w:val="24"/>
          <w:rtl w:val="0"/>
        </w:rPr>
        <w:t xml:space="preserve">.</w:t>
      </w:r>
    </w:p>
    <w:p w:rsidR="00000000" w:rsidDel="00000000" w:rsidP="00000000" w:rsidRDefault="00000000" w:rsidRPr="00000000" w14:paraId="00000028">
      <w:pPr>
        <w:rPr>
          <w:sz w:val="24"/>
          <w:szCs w:val="24"/>
        </w:rPr>
      </w:pPr>
      <w:r w:rsidDel="00000000" w:rsidR="00000000" w:rsidRPr="00000000">
        <w:rPr>
          <w:sz w:val="24"/>
          <w:szCs w:val="24"/>
          <w:rtl w:val="0"/>
        </w:rPr>
        <w:t xml:space="preserve">For Equity, it was originally a system of rules designed to alleviate on moral grounds particularly when people could not obtain justice in common law due to its rigidity, which is to ensure just and fair</w:t>
      </w:r>
      <w:r w:rsidDel="00000000" w:rsidR="00000000" w:rsidRPr="00000000">
        <w:rPr>
          <w:sz w:val="24"/>
          <w:szCs w:val="24"/>
          <w:vertAlign w:val="superscript"/>
        </w:rPr>
        <w:footnoteReference w:customMarkFollows="0" w:id="30"/>
      </w:r>
      <w:r w:rsidDel="00000000" w:rsidR="00000000" w:rsidRPr="00000000">
        <w:rPr>
          <w:sz w:val="24"/>
          <w:szCs w:val="24"/>
          <w:rtl w:val="0"/>
        </w:rPr>
        <w:t xml:space="preserve">. </w:t>
      </w:r>
    </w:p>
    <w:p w:rsidR="00000000" w:rsidDel="00000000" w:rsidP="00000000" w:rsidRDefault="00000000" w:rsidRPr="00000000" w14:paraId="00000029">
      <w:pPr>
        <w:rPr>
          <w:sz w:val="24"/>
          <w:szCs w:val="24"/>
        </w:rPr>
      </w:pPr>
      <w:r w:rsidDel="00000000" w:rsidR="00000000" w:rsidRPr="00000000">
        <w:rPr>
          <w:sz w:val="24"/>
          <w:szCs w:val="24"/>
          <w:rtl w:val="0"/>
        </w:rPr>
        <w:t xml:space="preserve">For Customary law, it is prevailing among the Chinese inhabitants have largely been repealed by legislation. In Section 13 of New Territories Ordinance (Cap. 97), the courts shall have the power to recognize and enforce any Chinese custom or customary right in relation to land in the New Territories</w:t>
      </w:r>
      <w:r w:rsidDel="00000000" w:rsidR="00000000" w:rsidRPr="00000000">
        <w:rPr>
          <w:sz w:val="24"/>
          <w:szCs w:val="24"/>
          <w:vertAlign w:val="superscript"/>
        </w:rPr>
        <w:footnoteReference w:customMarkFollows="0" w:id="31"/>
      </w:r>
      <w:r w:rsidDel="00000000" w:rsidR="00000000" w:rsidRPr="00000000">
        <w:rPr>
          <w:sz w:val="24"/>
          <w:szCs w:val="24"/>
          <w:rtl w:val="0"/>
        </w:rPr>
        <w:t xml:space="preserve">.</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II) The standard of proof that courts use to decide civil cases is based on a balance of probabilities, which burden of proof is on the plaintiff to establish rights against the defendant. Comparing to criminal cases, which burden of proof is on the prosecutor to establish the case against the accused beyond reasonable doubt, which the prosecutor has to be 100% certain that the defendant commits the crime, in civil cases, as long as there is 51% of probabilities that the defendant commits a wrong conduct, he is held liable in civil. </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Misrepresentation is defined as “a statement of fact made by one party to the other that is false, and it induced the other party to enter into the contract”. It exists when the four criteria are satisfied (1) representation of fact (2) the Representation was false, (3) representation was related to a material fact (4) such representation induced the representee to enter into the contract</w:t>
      </w:r>
      <w:r w:rsidDel="00000000" w:rsidR="00000000" w:rsidRPr="00000000">
        <w:rPr>
          <w:sz w:val="24"/>
          <w:szCs w:val="24"/>
          <w:vertAlign w:val="superscript"/>
        </w:rPr>
        <w:footnoteReference w:customMarkFollows="0" w:id="32"/>
      </w:r>
      <w:r w:rsidDel="00000000" w:rsidR="00000000" w:rsidRPr="00000000">
        <w:rPr>
          <w:sz w:val="24"/>
          <w:szCs w:val="24"/>
          <w:rtl w:val="0"/>
        </w:rPr>
        <w:t xml:space="preserve">. First, for misrepresentation of fact, a misrepresentation must be related to existing facts or past events. According to Gordon v. Selico, the defendant concealed a defect in the house with painting. When the buyer asked about the house, the seller did not inform the buyer about the defect. The court held that it was a misrepresentation. Also, it cannot be a statement of law or statement of opinion.</w:t>
      </w:r>
    </w:p>
    <w:p w:rsidR="00000000" w:rsidDel="00000000" w:rsidP="00000000" w:rsidRDefault="00000000" w:rsidRPr="00000000" w14:paraId="0000002E">
      <w:pPr>
        <w:rPr>
          <w:sz w:val="24"/>
          <w:szCs w:val="24"/>
        </w:rPr>
      </w:pPr>
      <w:r w:rsidDel="00000000" w:rsidR="00000000" w:rsidRPr="00000000">
        <w:rPr>
          <w:sz w:val="24"/>
          <w:szCs w:val="24"/>
          <w:rtl w:val="0"/>
        </w:rPr>
        <w:t xml:space="preserve">Second, for the Representation was false. Whether a statement is false or not is determined by an objective test, which is a reasonable person in D’s position. According to Smith v. Land House Property Corp, the defendant said he has sold to “a most desirable tenant” but in fact, the tenant had not paid rent for a significant period of time. By objective test, as this should be known by the defendant, it is held the Representation was false.</w:t>
      </w:r>
    </w:p>
    <w:p w:rsidR="00000000" w:rsidDel="00000000" w:rsidP="00000000" w:rsidRDefault="00000000" w:rsidRPr="00000000" w14:paraId="0000002F">
      <w:pPr>
        <w:rPr>
          <w:sz w:val="24"/>
          <w:szCs w:val="24"/>
        </w:rPr>
      </w:pPr>
      <w:r w:rsidDel="00000000" w:rsidR="00000000" w:rsidRPr="00000000">
        <w:rPr>
          <w:sz w:val="24"/>
          <w:szCs w:val="24"/>
          <w:rtl w:val="0"/>
        </w:rPr>
        <w:t xml:space="preserve">Third, representation was related to a material fact. To constitute a misrepresentation, a false statement of fact must relate to a material fact that affects a reasonable person’s judgment on whether to enter into the contract. According to Green Park Properties Ltd v Dorku Ltd, the document provided by the defendant was misleading about the yard and space at the back of the property, as this would affect the overall size and value of the property which is important, it is held that this representation was related to a material fact.</w:t>
      </w:r>
    </w:p>
    <w:p w:rsidR="00000000" w:rsidDel="00000000" w:rsidP="00000000" w:rsidRDefault="00000000" w:rsidRPr="00000000" w14:paraId="00000030">
      <w:pPr>
        <w:rPr>
          <w:sz w:val="24"/>
          <w:szCs w:val="24"/>
        </w:rPr>
      </w:pPr>
      <w:r w:rsidDel="00000000" w:rsidR="00000000" w:rsidRPr="00000000">
        <w:rPr>
          <w:sz w:val="24"/>
          <w:szCs w:val="24"/>
          <w:rtl w:val="0"/>
        </w:rPr>
        <w:t xml:space="preserve">Lastly, for such representation induced the representee to enter into the contract, a misrepresentation will not be operative if the representee was aware of the truth; the representee was unaware of the misrepresentation and contracted in ignorance of it; the representee ignored the misrepresentation; the representee verified the truth from other sources and did not rely on the representor’s statement.  </w:t>
      </w:r>
    </w:p>
    <w:p w:rsidR="00000000" w:rsidDel="00000000" w:rsidP="00000000" w:rsidRDefault="00000000" w:rsidRPr="00000000" w14:paraId="00000031">
      <w:pPr>
        <w:rPr>
          <w:sz w:val="24"/>
          <w:szCs w:val="24"/>
        </w:rPr>
      </w:pPr>
      <w:r w:rsidDel="00000000" w:rsidR="00000000" w:rsidRPr="00000000">
        <w:rPr>
          <w:sz w:val="24"/>
          <w:szCs w:val="24"/>
          <w:rtl w:val="0"/>
        </w:rPr>
        <w:t xml:space="preserve">If the four elements are satisfied, the court will held it is a misrepresentation. Misrepresentation is divided into 3 types, including fraudulent, negligent and innocent. </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The contra proferentum rule is used in cases concerning exclusion clause. Exclusion clauses are defined as clauses “intended to exclude, exempt or limit liability”. In order for the exclusion clause to be effective, it should satisfy all three conditions (1) incorporation, (2) construction, (3) not contravene the control of exemption clauses ordinance (Cap.71)</w:t>
      </w:r>
      <w:r w:rsidDel="00000000" w:rsidR="00000000" w:rsidRPr="00000000">
        <w:rPr>
          <w:sz w:val="24"/>
          <w:szCs w:val="24"/>
          <w:vertAlign w:val="superscript"/>
        </w:rPr>
        <w:footnoteReference w:customMarkFollows="0" w:id="33"/>
      </w:r>
      <w:r w:rsidDel="00000000" w:rsidR="00000000" w:rsidRPr="00000000">
        <w:rPr>
          <w:sz w:val="24"/>
          <w:szCs w:val="24"/>
          <w:rtl w:val="0"/>
        </w:rPr>
        <w:t xml:space="preserve">. </w:t>
      </w:r>
    </w:p>
    <w:p w:rsidR="00000000" w:rsidDel="00000000" w:rsidP="00000000" w:rsidRDefault="00000000" w:rsidRPr="00000000" w14:paraId="00000034">
      <w:pPr>
        <w:rPr>
          <w:sz w:val="24"/>
          <w:szCs w:val="24"/>
        </w:rPr>
      </w:pPr>
      <w:r w:rsidDel="00000000" w:rsidR="00000000" w:rsidRPr="00000000">
        <w:rPr>
          <w:sz w:val="24"/>
          <w:szCs w:val="24"/>
          <w:rtl w:val="0"/>
        </w:rPr>
        <w:t xml:space="preserve">The contra proferentum rule is used in determining whether there is construction, the court will consider whether the exclusion clause’s wording is clear and wide enough to protect the party relying on it. If its wording is unclear, the court may apply the contra proferentem rule to restrict the effects of an exclusion clause and resolve any ambiguities in favour of the other party</w:t>
      </w:r>
      <w:r w:rsidDel="00000000" w:rsidR="00000000" w:rsidRPr="00000000">
        <w:rPr>
          <w:sz w:val="24"/>
          <w:szCs w:val="24"/>
          <w:vertAlign w:val="superscript"/>
        </w:rPr>
        <w:footnoteReference w:customMarkFollows="0" w:id="34"/>
      </w:r>
      <w:r w:rsidDel="00000000" w:rsidR="00000000" w:rsidRPr="00000000">
        <w:rPr>
          <w:sz w:val="24"/>
          <w:szCs w:val="24"/>
          <w:rtl w:val="0"/>
        </w:rPr>
        <w:t xml:space="preserve">. According to Baldry V Marshall, the exclusion clause on ‘guarantee or warranty, statutory or otherwise”, the wording “otherwise” was held to be too wide. The court apply the contra proferentem rule to restrict the effects of an exclusion clause. </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7, slide 2</w:t>
      </w:r>
    </w:p>
  </w:footnote>
  <w:footnote w:id="1">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5, slide 2</w:t>
      </w:r>
    </w:p>
  </w:footnote>
  <w:footnote w:id="2">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5, slide 3</w:t>
      </w:r>
    </w:p>
  </w:footnote>
  <w:footnote w:id="3">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5, slide 5</w:t>
      </w:r>
    </w:p>
  </w:footnote>
  <w:footnote w:id="4">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5, slide 5</w:t>
      </w:r>
    </w:p>
  </w:footnote>
  <w:footnote w:id="5">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7, slide 7</w:t>
      </w:r>
    </w:p>
  </w:footnote>
  <w:footnote w:id="6">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7, slide 3</w:t>
      </w:r>
    </w:p>
  </w:footnote>
  <w:footnote w:id="7">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7, slide 5</w:t>
      </w:r>
    </w:p>
  </w:footnote>
  <w:footnote w:id="8">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7, slide 9</w:t>
      </w:r>
    </w:p>
  </w:footnote>
  <w:footnote w:id="9">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3, slide 2</w:t>
      </w:r>
    </w:p>
  </w:footnote>
  <w:footnote w:id="10">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3, slide 7</w:t>
      </w:r>
    </w:p>
  </w:footnote>
  <w:footnote w:id="11">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3, slide 8</w:t>
      </w:r>
    </w:p>
  </w:footnote>
  <w:footnote w:id="12">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2</w:t>
      </w:r>
    </w:p>
  </w:footnote>
  <w:footnote w:id="13">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5</w:t>
      </w:r>
    </w:p>
  </w:footnote>
  <w:footnote w:id="14">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6</w:t>
      </w:r>
    </w:p>
  </w:footnote>
  <w:footnote w:id="15">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12</w:t>
      </w:r>
    </w:p>
  </w:footnote>
  <w:footnote w:id="16">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8</w:t>
      </w:r>
    </w:p>
  </w:footnote>
  <w:footnote w:id="17">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9</w:t>
      </w:r>
    </w:p>
  </w:footnote>
  <w:footnote w:id="18">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13</w:t>
      </w:r>
    </w:p>
  </w:footnote>
  <w:footnote w:id="19">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11</w:t>
      </w:r>
    </w:p>
  </w:footnote>
  <w:footnote w:id="20">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14</w:t>
      </w:r>
    </w:p>
  </w:footnote>
  <w:footnote w:id="21">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10, slide 7</w:t>
      </w:r>
    </w:p>
  </w:footnote>
  <w:footnote w:id="22">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8, slide 2</w:t>
      </w:r>
    </w:p>
  </w:footnote>
  <w:footnote w:id="23">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Points to Note Regarding Termination of Employment by Employees, </w:t>
      </w:r>
      <w:hyperlink r:id="rId1">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file:///C:/Users/User/Downloads/2010-01%20points%20to%20note%20regarding%20termination%20of%20employment%20by%20employees.pdf</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4">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Basic Law </w:t>
      </w:r>
      <w:hyperlink r:id="rId2">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https://www.basiclaw.gov.hk/en/basiclaw/facts.html</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5">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Article 5 </w:t>
      </w:r>
      <w:hyperlink r:id="rId3">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https://www.basiclaw.gov.hk/en/basiclaw/chapter1.html</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6">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Article 8 </w:t>
      </w:r>
      <w:hyperlink r:id="rId4">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https://www.basiclaw.gov.hk/en/basiclaw/chapter1.html</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7">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National laws </w:t>
      </w:r>
      <w:hyperlink r:id="rId5">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https://www.basiclaw.gov.hk/en/basiclaw/national-laws.html</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8">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11, slide 4</w:t>
      </w:r>
    </w:p>
  </w:footnote>
  <w:footnote w:id="29">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11, slide 4</w:t>
      </w:r>
    </w:p>
  </w:footnote>
  <w:footnote w:id="30">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11, slide 5</w:t>
      </w:r>
    </w:p>
  </w:footnote>
  <w:footnote w:id="31">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11, slide 6</w:t>
      </w:r>
    </w:p>
  </w:footnote>
  <w:footnote w:id="32">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2, slide 6</w:t>
      </w:r>
    </w:p>
  </w:footnote>
  <w:footnote w:id="33">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3, slide 2</w:t>
      </w:r>
    </w:p>
  </w:footnote>
  <w:footnote w:id="34">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Lecture 3, slide 7</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rsid w:val="006014B9"/>
    <w:pPr>
      <w:snapToGrid w:val="0"/>
    </w:pPr>
    <w:rPr>
      <w:sz w:val="20"/>
      <w:szCs w:val="20"/>
    </w:rPr>
  </w:style>
  <w:style w:type="character" w:styleId="FootnoteTextChar" w:customStyle="1">
    <w:name w:val="Footnote Text Char"/>
    <w:basedOn w:val="DefaultParagraphFont"/>
    <w:link w:val="FootnoteText"/>
    <w:uiPriority w:val="99"/>
    <w:semiHidden w:val="1"/>
    <w:rsid w:val="006014B9"/>
    <w:rPr>
      <w:sz w:val="20"/>
      <w:szCs w:val="20"/>
    </w:rPr>
  </w:style>
  <w:style w:type="character" w:styleId="Hyperlink">
    <w:name w:val="Hyperlink"/>
    <w:basedOn w:val="DefaultParagraphFont"/>
    <w:uiPriority w:val="99"/>
    <w:unhideWhenUsed w:val="1"/>
    <w:rsid w:val="00EF4B68"/>
    <w:rPr>
      <w:color w:val="0563c1" w:themeColor="hyperlink"/>
      <w:u w:val="single"/>
    </w:rPr>
  </w:style>
  <w:style w:type="character" w:styleId="UnresolvedMention">
    <w:name w:val="Unresolved Mention"/>
    <w:basedOn w:val="DefaultParagraphFont"/>
    <w:uiPriority w:val="99"/>
    <w:semiHidden w:val="1"/>
    <w:unhideWhenUsed w:val="1"/>
    <w:rsid w:val="00EF4B68"/>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hyperlink" Target="https://www.basiclaw.gov.hk/en/basiclaw/facts.html" TargetMode="External"/><Relationship Id="rId3" Type="http://schemas.openxmlformats.org/officeDocument/2006/relationships/hyperlink" Target="https://www.basiclaw.gov.hk/en/basiclaw/chapter1.html" TargetMode="External"/><Relationship Id="rId4" Type="http://schemas.openxmlformats.org/officeDocument/2006/relationships/hyperlink" Target="https://www.basiclaw.gov.hk/en/basiclaw/chapter1.html" TargetMode="External"/><Relationship Id="rId5" Type="http://schemas.openxmlformats.org/officeDocument/2006/relationships/hyperlink" Target="https://www.basiclaw.gov.hk/en/basiclaw/national-law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cqp3Dpn27Z3obCb6D+MTxNpAP7g==">AMUW2mVx3SlvRSt13peVXNmsUEMVWB8yXoj1Adj2y81uKXjAYGaDc7umVk+JnXUBqB3HVgmzwjtG2QmfOSsQmHrN3VSaGtxTEbl6RwANfVsoyrMgw5NqQ+8=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2021-11-28T08:55:00Z</dcterms:created>
  <dc:creator>SAM Cheuk Kiu</dc:creator>
</cp:coreProperties>
</file>